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A703D" w:rsidRPr="00F35547">
        <w:trPr>
          <w:trHeight w:hRule="exact" w:val="1528"/>
        </w:trPr>
        <w:tc>
          <w:tcPr>
            <w:tcW w:w="143" w:type="dxa"/>
          </w:tcPr>
          <w:p w:rsidR="00CA703D" w:rsidRDefault="00CA703D"/>
        </w:tc>
        <w:tc>
          <w:tcPr>
            <w:tcW w:w="285" w:type="dxa"/>
          </w:tcPr>
          <w:p w:rsidR="00CA703D" w:rsidRDefault="00CA703D"/>
        </w:tc>
        <w:tc>
          <w:tcPr>
            <w:tcW w:w="710" w:type="dxa"/>
          </w:tcPr>
          <w:p w:rsidR="00CA703D" w:rsidRDefault="00CA703D"/>
        </w:tc>
        <w:tc>
          <w:tcPr>
            <w:tcW w:w="1419" w:type="dxa"/>
          </w:tcPr>
          <w:p w:rsidR="00CA703D" w:rsidRDefault="00CA703D"/>
        </w:tc>
        <w:tc>
          <w:tcPr>
            <w:tcW w:w="1419" w:type="dxa"/>
          </w:tcPr>
          <w:p w:rsidR="00CA703D" w:rsidRDefault="00CA703D"/>
        </w:tc>
        <w:tc>
          <w:tcPr>
            <w:tcW w:w="710" w:type="dxa"/>
          </w:tcPr>
          <w:p w:rsidR="00CA703D" w:rsidRDefault="00CA70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both"/>
              <w:rPr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30.08.2021 №94.</w:t>
            </w:r>
          </w:p>
        </w:tc>
      </w:tr>
      <w:tr w:rsidR="00CA703D" w:rsidRPr="00F35547">
        <w:trPr>
          <w:trHeight w:hRule="exact" w:val="138"/>
        </w:trPr>
        <w:tc>
          <w:tcPr>
            <w:tcW w:w="143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</w:tr>
      <w:tr w:rsidR="00CA703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703D" w:rsidRPr="00F3554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A703D" w:rsidRPr="00F35547">
        <w:trPr>
          <w:trHeight w:hRule="exact" w:val="211"/>
        </w:trPr>
        <w:tc>
          <w:tcPr>
            <w:tcW w:w="143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</w:tr>
      <w:tr w:rsidR="00CA703D">
        <w:trPr>
          <w:trHeight w:hRule="exact" w:val="277"/>
        </w:trPr>
        <w:tc>
          <w:tcPr>
            <w:tcW w:w="143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703D" w:rsidRPr="00F35547">
        <w:trPr>
          <w:trHeight w:hRule="exact" w:val="972"/>
        </w:trPr>
        <w:tc>
          <w:tcPr>
            <w:tcW w:w="143" w:type="dxa"/>
          </w:tcPr>
          <w:p w:rsidR="00CA703D" w:rsidRDefault="00CA703D"/>
        </w:tc>
        <w:tc>
          <w:tcPr>
            <w:tcW w:w="285" w:type="dxa"/>
          </w:tcPr>
          <w:p w:rsidR="00CA703D" w:rsidRDefault="00CA703D"/>
        </w:tc>
        <w:tc>
          <w:tcPr>
            <w:tcW w:w="710" w:type="dxa"/>
          </w:tcPr>
          <w:p w:rsidR="00CA703D" w:rsidRDefault="00CA703D"/>
        </w:tc>
        <w:tc>
          <w:tcPr>
            <w:tcW w:w="1419" w:type="dxa"/>
          </w:tcPr>
          <w:p w:rsidR="00CA703D" w:rsidRDefault="00CA703D"/>
        </w:tc>
        <w:tc>
          <w:tcPr>
            <w:tcW w:w="1419" w:type="dxa"/>
          </w:tcPr>
          <w:p w:rsidR="00CA703D" w:rsidRDefault="00CA703D"/>
        </w:tc>
        <w:tc>
          <w:tcPr>
            <w:tcW w:w="710" w:type="dxa"/>
          </w:tcPr>
          <w:p w:rsidR="00CA703D" w:rsidRDefault="00CA703D"/>
        </w:tc>
        <w:tc>
          <w:tcPr>
            <w:tcW w:w="426" w:type="dxa"/>
          </w:tcPr>
          <w:p w:rsidR="00CA703D" w:rsidRDefault="00CA703D"/>
        </w:tc>
        <w:tc>
          <w:tcPr>
            <w:tcW w:w="1277" w:type="dxa"/>
          </w:tcPr>
          <w:p w:rsidR="00CA703D" w:rsidRDefault="00CA70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A703D" w:rsidRPr="00F35547" w:rsidRDefault="00CA70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A703D">
        <w:trPr>
          <w:trHeight w:hRule="exact" w:val="277"/>
        </w:trPr>
        <w:tc>
          <w:tcPr>
            <w:tcW w:w="143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703D">
        <w:trPr>
          <w:trHeight w:hRule="exact" w:val="277"/>
        </w:trPr>
        <w:tc>
          <w:tcPr>
            <w:tcW w:w="143" w:type="dxa"/>
          </w:tcPr>
          <w:p w:rsidR="00CA703D" w:rsidRDefault="00CA703D"/>
        </w:tc>
        <w:tc>
          <w:tcPr>
            <w:tcW w:w="285" w:type="dxa"/>
          </w:tcPr>
          <w:p w:rsidR="00CA703D" w:rsidRDefault="00CA703D"/>
        </w:tc>
        <w:tc>
          <w:tcPr>
            <w:tcW w:w="710" w:type="dxa"/>
          </w:tcPr>
          <w:p w:rsidR="00CA703D" w:rsidRDefault="00CA703D"/>
        </w:tc>
        <w:tc>
          <w:tcPr>
            <w:tcW w:w="1419" w:type="dxa"/>
          </w:tcPr>
          <w:p w:rsidR="00CA703D" w:rsidRDefault="00CA703D"/>
        </w:tc>
        <w:tc>
          <w:tcPr>
            <w:tcW w:w="1419" w:type="dxa"/>
          </w:tcPr>
          <w:p w:rsidR="00CA703D" w:rsidRDefault="00CA703D"/>
        </w:tc>
        <w:tc>
          <w:tcPr>
            <w:tcW w:w="710" w:type="dxa"/>
          </w:tcPr>
          <w:p w:rsidR="00CA703D" w:rsidRDefault="00CA703D"/>
        </w:tc>
        <w:tc>
          <w:tcPr>
            <w:tcW w:w="426" w:type="dxa"/>
          </w:tcPr>
          <w:p w:rsidR="00CA703D" w:rsidRDefault="00CA703D"/>
        </w:tc>
        <w:tc>
          <w:tcPr>
            <w:tcW w:w="1277" w:type="dxa"/>
          </w:tcPr>
          <w:p w:rsidR="00CA703D" w:rsidRDefault="00CA703D"/>
        </w:tc>
        <w:tc>
          <w:tcPr>
            <w:tcW w:w="993" w:type="dxa"/>
          </w:tcPr>
          <w:p w:rsidR="00CA703D" w:rsidRDefault="00CA703D"/>
        </w:tc>
        <w:tc>
          <w:tcPr>
            <w:tcW w:w="2836" w:type="dxa"/>
          </w:tcPr>
          <w:p w:rsidR="00CA703D" w:rsidRDefault="00CA703D"/>
        </w:tc>
      </w:tr>
      <w:tr w:rsidR="00CA703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703D">
        <w:trPr>
          <w:trHeight w:hRule="exact" w:val="1496"/>
        </w:trPr>
        <w:tc>
          <w:tcPr>
            <w:tcW w:w="143" w:type="dxa"/>
          </w:tcPr>
          <w:p w:rsidR="00CA703D" w:rsidRDefault="00CA703D"/>
        </w:tc>
        <w:tc>
          <w:tcPr>
            <w:tcW w:w="285" w:type="dxa"/>
          </w:tcPr>
          <w:p w:rsidR="00CA703D" w:rsidRDefault="00CA703D"/>
        </w:tc>
        <w:tc>
          <w:tcPr>
            <w:tcW w:w="710" w:type="dxa"/>
          </w:tcPr>
          <w:p w:rsidR="00CA703D" w:rsidRDefault="00CA703D"/>
        </w:tc>
        <w:tc>
          <w:tcPr>
            <w:tcW w:w="1419" w:type="dxa"/>
          </w:tcPr>
          <w:p w:rsidR="00CA703D" w:rsidRDefault="00CA70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Правовое обеспечение формирования и оценки стоимости организации</w:t>
            </w:r>
          </w:p>
          <w:p w:rsidR="00CA703D" w:rsidRDefault="00F355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CA703D" w:rsidRDefault="00CA703D"/>
        </w:tc>
      </w:tr>
      <w:tr w:rsidR="00CA703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703D" w:rsidRPr="00F35547">
        <w:trPr>
          <w:trHeight w:hRule="exact" w:val="1125"/>
        </w:trPr>
        <w:tc>
          <w:tcPr>
            <w:tcW w:w="143" w:type="dxa"/>
          </w:tcPr>
          <w:p w:rsidR="00CA703D" w:rsidRDefault="00CA703D"/>
        </w:tc>
        <w:tc>
          <w:tcPr>
            <w:tcW w:w="285" w:type="dxa"/>
          </w:tcPr>
          <w:p w:rsidR="00CA703D" w:rsidRDefault="00CA70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703D" w:rsidRPr="00F3554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CA703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703D" w:rsidRDefault="00CA703D"/>
        </w:tc>
        <w:tc>
          <w:tcPr>
            <w:tcW w:w="426" w:type="dxa"/>
          </w:tcPr>
          <w:p w:rsidR="00CA703D" w:rsidRDefault="00CA703D"/>
        </w:tc>
        <w:tc>
          <w:tcPr>
            <w:tcW w:w="1277" w:type="dxa"/>
          </w:tcPr>
          <w:p w:rsidR="00CA703D" w:rsidRDefault="00CA703D"/>
        </w:tc>
        <w:tc>
          <w:tcPr>
            <w:tcW w:w="993" w:type="dxa"/>
          </w:tcPr>
          <w:p w:rsidR="00CA703D" w:rsidRDefault="00CA703D"/>
        </w:tc>
        <w:tc>
          <w:tcPr>
            <w:tcW w:w="2836" w:type="dxa"/>
          </w:tcPr>
          <w:p w:rsidR="00CA703D" w:rsidRDefault="00CA703D"/>
        </w:tc>
      </w:tr>
      <w:tr w:rsidR="00CA703D">
        <w:trPr>
          <w:trHeight w:hRule="exact" w:val="155"/>
        </w:trPr>
        <w:tc>
          <w:tcPr>
            <w:tcW w:w="143" w:type="dxa"/>
          </w:tcPr>
          <w:p w:rsidR="00CA703D" w:rsidRDefault="00CA703D"/>
        </w:tc>
        <w:tc>
          <w:tcPr>
            <w:tcW w:w="285" w:type="dxa"/>
          </w:tcPr>
          <w:p w:rsidR="00CA703D" w:rsidRDefault="00CA703D"/>
        </w:tc>
        <w:tc>
          <w:tcPr>
            <w:tcW w:w="710" w:type="dxa"/>
          </w:tcPr>
          <w:p w:rsidR="00CA703D" w:rsidRDefault="00CA703D"/>
        </w:tc>
        <w:tc>
          <w:tcPr>
            <w:tcW w:w="1419" w:type="dxa"/>
          </w:tcPr>
          <w:p w:rsidR="00CA703D" w:rsidRDefault="00CA703D"/>
        </w:tc>
        <w:tc>
          <w:tcPr>
            <w:tcW w:w="1419" w:type="dxa"/>
          </w:tcPr>
          <w:p w:rsidR="00CA703D" w:rsidRDefault="00CA703D"/>
        </w:tc>
        <w:tc>
          <w:tcPr>
            <w:tcW w:w="710" w:type="dxa"/>
          </w:tcPr>
          <w:p w:rsidR="00CA703D" w:rsidRDefault="00CA703D"/>
        </w:tc>
        <w:tc>
          <w:tcPr>
            <w:tcW w:w="426" w:type="dxa"/>
          </w:tcPr>
          <w:p w:rsidR="00CA703D" w:rsidRDefault="00CA703D"/>
        </w:tc>
        <w:tc>
          <w:tcPr>
            <w:tcW w:w="1277" w:type="dxa"/>
          </w:tcPr>
          <w:p w:rsidR="00CA703D" w:rsidRDefault="00CA703D"/>
        </w:tc>
        <w:tc>
          <w:tcPr>
            <w:tcW w:w="993" w:type="dxa"/>
          </w:tcPr>
          <w:p w:rsidR="00CA703D" w:rsidRDefault="00CA703D"/>
        </w:tc>
        <w:tc>
          <w:tcPr>
            <w:tcW w:w="2836" w:type="dxa"/>
          </w:tcPr>
          <w:p w:rsidR="00CA703D" w:rsidRDefault="00CA703D"/>
        </w:tc>
      </w:tr>
      <w:tr w:rsidR="00CA70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A70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CA70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CA703D">
        <w:trPr>
          <w:trHeight w:hRule="exact" w:val="124"/>
        </w:trPr>
        <w:tc>
          <w:tcPr>
            <w:tcW w:w="143" w:type="dxa"/>
          </w:tcPr>
          <w:p w:rsidR="00CA703D" w:rsidRDefault="00CA703D"/>
        </w:tc>
        <w:tc>
          <w:tcPr>
            <w:tcW w:w="285" w:type="dxa"/>
          </w:tcPr>
          <w:p w:rsidR="00CA703D" w:rsidRDefault="00CA703D"/>
        </w:tc>
        <w:tc>
          <w:tcPr>
            <w:tcW w:w="710" w:type="dxa"/>
          </w:tcPr>
          <w:p w:rsidR="00CA703D" w:rsidRDefault="00CA703D"/>
        </w:tc>
        <w:tc>
          <w:tcPr>
            <w:tcW w:w="1419" w:type="dxa"/>
          </w:tcPr>
          <w:p w:rsidR="00CA703D" w:rsidRDefault="00CA703D"/>
        </w:tc>
        <w:tc>
          <w:tcPr>
            <w:tcW w:w="1419" w:type="dxa"/>
          </w:tcPr>
          <w:p w:rsidR="00CA703D" w:rsidRDefault="00CA703D"/>
        </w:tc>
        <w:tc>
          <w:tcPr>
            <w:tcW w:w="710" w:type="dxa"/>
          </w:tcPr>
          <w:p w:rsidR="00CA703D" w:rsidRDefault="00CA703D"/>
        </w:tc>
        <w:tc>
          <w:tcPr>
            <w:tcW w:w="426" w:type="dxa"/>
          </w:tcPr>
          <w:p w:rsidR="00CA703D" w:rsidRDefault="00CA703D"/>
        </w:tc>
        <w:tc>
          <w:tcPr>
            <w:tcW w:w="1277" w:type="dxa"/>
          </w:tcPr>
          <w:p w:rsidR="00CA703D" w:rsidRDefault="00CA703D"/>
        </w:tc>
        <w:tc>
          <w:tcPr>
            <w:tcW w:w="993" w:type="dxa"/>
          </w:tcPr>
          <w:p w:rsidR="00CA703D" w:rsidRDefault="00CA703D"/>
        </w:tc>
        <w:tc>
          <w:tcPr>
            <w:tcW w:w="2836" w:type="dxa"/>
          </w:tcPr>
          <w:p w:rsidR="00CA703D" w:rsidRDefault="00CA703D"/>
        </w:tc>
      </w:tr>
      <w:tr w:rsidR="00CA703D" w:rsidRPr="00F3554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CA703D" w:rsidRPr="00F35547">
        <w:trPr>
          <w:trHeight w:hRule="exact" w:val="577"/>
        </w:trPr>
        <w:tc>
          <w:tcPr>
            <w:tcW w:w="143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CA703D">
            <w:pPr>
              <w:rPr>
                <w:lang w:val="ru-RU"/>
              </w:rPr>
            </w:pPr>
          </w:p>
        </w:tc>
      </w:tr>
      <w:tr w:rsidR="00CA703D" w:rsidRPr="00F35547">
        <w:trPr>
          <w:trHeight w:hRule="exact" w:val="2246"/>
        </w:trPr>
        <w:tc>
          <w:tcPr>
            <w:tcW w:w="143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</w:tr>
      <w:tr w:rsidR="00CA703D">
        <w:trPr>
          <w:trHeight w:hRule="exact" w:val="277"/>
        </w:trPr>
        <w:tc>
          <w:tcPr>
            <w:tcW w:w="143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703D">
        <w:trPr>
          <w:trHeight w:hRule="exact" w:val="138"/>
        </w:trPr>
        <w:tc>
          <w:tcPr>
            <w:tcW w:w="143" w:type="dxa"/>
          </w:tcPr>
          <w:p w:rsidR="00CA703D" w:rsidRDefault="00CA703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CA703D"/>
        </w:tc>
      </w:tr>
      <w:tr w:rsidR="00CA703D">
        <w:trPr>
          <w:trHeight w:hRule="exact" w:val="1666"/>
        </w:trPr>
        <w:tc>
          <w:tcPr>
            <w:tcW w:w="143" w:type="dxa"/>
          </w:tcPr>
          <w:p w:rsidR="00CA703D" w:rsidRDefault="00CA703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A703D" w:rsidRPr="00F35547" w:rsidRDefault="00CA70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703D" w:rsidRPr="00F35547" w:rsidRDefault="00CA70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A703D" w:rsidRDefault="00F35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703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703D" w:rsidRPr="00F35547" w:rsidRDefault="00CA70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CA703D" w:rsidRPr="00F35547" w:rsidRDefault="00CA70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A703D" w:rsidRPr="00F355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 w:rsidP="00F35547">
            <w:pPr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CA703D" w:rsidRPr="00F35547" w:rsidRDefault="00F35547">
      <w:pPr>
        <w:rPr>
          <w:sz w:val="0"/>
          <w:szCs w:val="0"/>
          <w:lang w:val="ru-RU"/>
        </w:rPr>
      </w:pPr>
      <w:r w:rsidRPr="00F35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0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703D">
        <w:trPr>
          <w:trHeight w:hRule="exact" w:val="555"/>
        </w:trPr>
        <w:tc>
          <w:tcPr>
            <w:tcW w:w="9640" w:type="dxa"/>
          </w:tcPr>
          <w:p w:rsidR="00CA703D" w:rsidRDefault="00CA703D"/>
        </w:tc>
      </w:tr>
      <w:tr w:rsidR="00CA70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703D" w:rsidRDefault="00F35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03D" w:rsidRPr="00F355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703D" w:rsidRPr="00F3554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заочная на 2021/2022 учебный год, утвержденным приказом ректора от 30.08.2021 №94;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«Правовое обеспечение формирования и оценки стоимости организации» в течение 2021/2022 учебного года: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A703D" w:rsidRPr="00F35547" w:rsidRDefault="00F35547">
      <w:pPr>
        <w:rPr>
          <w:sz w:val="0"/>
          <w:szCs w:val="0"/>
          <w:lang w:val="ru-RU"/>
        </w:rPr>
      </w:pPr>
      <w:r w:rsidRPr="00F35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03D" w:rsidRPr="00F3554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К.М.01.01 «Правовое обеспечение формирования и оценки стоимости организации».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703D" w:rsidRPr="00F35547">
        <w:trPr>
          <w:trHeight w:hRule="exact" w:val="139"/>
        </w:trPr>
        <w:tc>
          <w:tcPr>
            <w:tcW w:w="9640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</w:tr>
      <w:tr w:rsidR="00CA703D" w:rsidRPr="00F3554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«Правовое обеспечение формирования и оценки стоимости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703D" w:rsidRPr="00F355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определятль стоимость организации</w:t>
            </w:r>
          </w:p>
        </w:tc>
      </w:tr>
      <w:tr w:rsidR="00CA70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CA70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703D" w:rsidRPr="00F355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нормативные правовые акты в области оценочной деятельности, основы налогового законодательства РФ, основы гражданского законодательства РФ, понятие и классификация гражданских прав</w:t>
            </w:r>
          </w:p>
        </w:tc>
      </w:tr>
      <w:tr w:rsidR="00CA703D" w:rsidRPr="00F355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стандарты, правила и методологию определения стоимостей, соответствующую судебную практику</w:t>
            </w:r>
          </w:p>
        </w:tc>
      </w:tr>
      <w:tr w:rsidR="00CA703D" w:rsidRPr="00F355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использовать в работе нормативные правовые акты в области оценочной деятельности, основы налогового законодательства РФ, основы гражданского законодательства РФ</w:t>
            </w:r>
          </w:p>
        </w:tc>
      </w:tr>
      <w:tr w:rsidR="00CA703D" w:rsidRPr="00F355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владеть навыками использования в работе и анализе правоустанавливающих документов на имущество организаций</w:t>
            </w:r>
          </w:p>
        </w:tc>
      </w:tr>
      <w:tr w:rsidR="00CA703D" w:rsidRPr="00F355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владеть навыками анализа информации об организации и совокупности прав на нее</w:t>
            </w:r>
          </w:p>
        </w:tc>
      </w:tr>
      <w:tr w:rsidR="00CA703D" w:rsidRPr="00F35547">
        <w:trPr>
          <w:trHeight w:hRule="exact" w:val="277"/>
        </w:trPr>
        <w:tc>
          <w:tcPr>
            <w:tcW w:w="9640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</w:tr>
      <w:tr w:rsidR="00CA703D" w:rsidRPr="00F355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CA70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CA70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703D" w:rsidRPr="00F355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основные законы и закономерности функционирования экономики</w:t>
            </w:r>
          </w:p>
        </w:tc>
      </w:tr>
      <w:tr w:rsidR="00CA703D" w:rsidRPr="00F355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CA703D" w:rsidRPr="00F355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CA703D" w:rsidRPr="00F355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применения экономических инструментов</w:t>
            </w:r>
          </w:p>
        </w:tc>
      </w:tr>
      <w:tr w:rsidR="00CA703D" w:rsidRPr="00F35547">
        <w:trPr>
          <w:trHeight w:hRule="exact" w:val="416"/>
        </w:trPr>
        <w:tc>
          <w:tcPr>
            <w:tcW w:w="9640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</w:tr>
      <w:tr w:rsidR="00CA703D" w:rsidRPr="00F355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703D" w:rsidRPr="00F355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CA70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«Правовое обеспечение формирования и оценки стоимости организации» относится к обязательной части, является дисциплиной Блока Б1. «Дисциплины (модули)». Модуль "Определение стоимости организации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CA703D" w:rsidRPr="00F35547" w:rsidRDefault="00F35547">
      <w:pPr>
        <w:rPr>
          <w:sz w:val="0"/>
          <w:szCs w:val="0"/>
          <w:lang w:val="ru-RU"/>
        </w:rPr>
      </w:pPr>
      <w:r w:rsidRPr="00F35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A703D" w:rsidRPr="00F3554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703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3D" w:rsidRDefault="00CA703D"/>
        </w:tc>
      </w:tr>
      <w:tr w:rsidR="00CA703D" w:rsidRPr="00F355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3D" w:rsidRPr="00F35547" w:rsidRDefault="00CA703D">
            <w:pPr>
              <w:rPr>
                <w:lang w:val="ru-RU"/>
              </w:rPr>
            </w:pPr>
          </w:p>
        </w:tc>
      </w:tr>
      <w:tr w:rsidR="00CA703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3D" w:rsidRPr="00F35547" w:rsidRDefault="00F35547">
            <w:pPr>
              <w:spacing w:after="0" w:line="240" w:lineRule="auto"/>
              <w:jc w:val="center"/>
              <w:rPr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lang w:val="ru-RU"/>
              </w:rPr>
              <w:t>Правовое обеспечение в сфере оценочной деятельности</w:t>
            </w:r>
          </w:p>
          <w:p w:rsidR="00CA703D" w:rsidRDefault="00F35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3D" w:rsidRPr="00F35547" w:rsidRDefault="00F35547">
            <w:pPr>
              <w:spacing w:after="0" w:line="240" w:lineRule="auto"/>
              <w:jc w:val="center"/>
              <w:rPr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lang w:val="ru-RU"/>
              </w:rPr>
              <w:t>Оценка рыночной стоимости организации</w:t>
            </w:r>
          </w:p>
          <w:p w:rsidR="00CA703D" w:rsidRPr="00F35547" w:rsidRDefault="00F35547">
            <w:pPr>
              <w:spacing w:after="0" w:line="240" w:lineRule="auto"/>
              <w:jc w:val="center"/>
              <w:rPr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lang w:val="ru-RU"/>
              </w:rPr>
              <w:t>Организация оценочной деятельности в Российской Федерации</w:t>
            </w:r>
          </w:p>
          <w:p w:rsidR="00CA703D" w:rsidRDefault="00F35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экспертиза стоимости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УК-10</w:t>
            </w:r>
          </w:p>
        </w:tc>
      </w:tr>
      <w:tr w:rsidR="00CA703D">
        <w:trPr>
          <w:trHeight w:hRule="exact" w:val="138"/>
        </w:trPr>
        <w:tc>
          <w:tcPr>
            <w:tcW w:w="3970" w:type="dxa"/>
          </w:tcPr>
          <w:p w:rsidR="00CA703D" w:rsidRDefault="00CA703D"/>
        </w:tc>
        <w:tc>
          <w:tcPr>
            <w:tcW w:w="1702" w:type="dxa"/>
          </w:tcPr>
          <w:p w:rsidR="00CA703D" w:rsidRDefault="00CA703D"/>
        </w:tc>
        <w:tc>
          <w:tcPr>
            <w:tcW w:w="1702" w:type="dxa"/>
          </w:tcPr>
          <w:p w:rsidR="00CA703D" w:rsidRDefault="00CA703D"/>
        </w:tc>
        <w:tc>
          <w:tcPr>
            <w:tcW w:w="426" w:type="dxa"/>
          </w:tcPr>
          <w:p w:rsidR="00CA703D" w:rsidRDefault="00CA703D"/>
        </w:tc>
        <w:tc>
          <w:tcPr>
            <w:tcW w:w="710" w:type="dxa"/>
          </w:tcPr>
          <w:p w:rsidR="00CA703D" w:rsidRDefault="00CA703D"/>
        </w:tc>
        <w:tc>
          <w:tcPr>
            <w:tcW w:w="143" w:type="dxa"/>
          </w:tcPr>
          <w:p w:rsidR="00CA703D" w:rsidRDefault="00CA703D"/>
        </w:tc>
        <w:tc>
          <w:tcPr>
            <w:tcW w:w="993" w:type="dxa"/>
          </w:tcPr>
          <w:p w:rsidR="00CA703D" w:rsidRDefault="00CA703D"/>
        </w:tc>
      </w:tr>
      <w:tr w:rsidR="00CA703D" w:rsidRPr="00F3554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703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703D">
        <w:trPr>
          <w:trHeight w:hRule="exact" w:val="138"/>
        </w:trPr>
        <w:tc>
          <w:tcPr>
            <w:tcW w:w="3970" w:type="dxa"/>
          </w:tcPr>
          <w:p w:rsidR="00CA703D" w:rsidRDefault="00CA703D"/>
        </w:tc>
        <w:tc>
          <w:tcPr>
            <w:tcW w:w="1702" w:type="dxa"/>
          </w:tcPr>
          <w:p w:rsidR="00CA703D" w:rsidRDefault="00CA703D"/>
        </w:tc>
        <w:tc>
          <w:tcPr>
            <w:tcW w:w="1702" w:type="dxa"/>
          </w:tcPr>
          <w:p w:rsidR="00CA703D" w:rsidRDefault="00CA703D"/>
        </w:tc>
        <w:tc>
          <w:tcPr>
            <w:tcW w:w="426" w:type="dxa"/>
          </w:tcPr>
          <w:p w:rsidR="00CA703D" w:rsidRDefault="00CA703D"/>
        </w:tc>
        <w:tc>
          <w:tcPr>
            <w:tcW w:w="710" w:type="dxa"/>
          </w:tcPr>
          <w:p w:rsidR="00CA703D" w:rsidRDefault="00CA703D"/>
        </w:tc>
        <w:tc>
          <w:tcPr>
            <w:tcW w:w="143" w:type="dxa"/>
          </w:tcPr>
          <w:p w:rsidR="00CA703D" w:rsidRDefault="00CA703D"/>
        </w:tc>
        <w:tc>
          <w:tcPr>
            <w:tcW w:w="993" w:type="dxa"/>
          </w:tcPr>
          <w:p w:rsidR="00CA703D" w:rsidRDefault="00CA703D"/>
        </w:tc>
      </w:tr>
      <w:tr w:rsidR="00CA70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70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70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70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70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70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CA70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703D">
        <w:trPr>
          <w:trHeight w:hRule="exact" w:val="416"/>
        </w:trPr>
        <w:tc>
          <w:tcPr>
            <w:tcW w:w="3970" w:type="dxa"/>
          </w:tcPr>
          <w:p w:rsidR="00CA703D" w:rsidRDefault="00CA703D"/>
        </w:tc>
        <w:tc>
          <w:tcPr>
            <w:tcW w:w="1702" w:type="dxa"/>
          </w:tcPr>
          <w:p w:rsidR="00CA703D" w:rsidRDefault="00CA703D"/>
        </w:tc>
        <w:tc>
          <w:tcPr>
            <w:tcW w:w="1702" w:type="dxa"/>
          </w:tcPr>
          <w:p w:rsidR="00CA703D" w:rsidRDefault="00CA703D"/>
        </w:tc>
        <w:tc>
          <w:tcPr>
            <w:tcW w:w="426" w:type="dxa"/>
          </w:tcPr>
          <w:p w:rsidR="00CA703D" w:rsidRDefault="00CA703D"/>
        </w:tc>
        <w:tc>
          <w:tcPr>
            <w:tcW w:w="710" w:type="dxa"/>
          </w:tcPr>
          <w:p w:rsidR="00CA703D" w:rsidRDefault="00CA703D"/>
        </w:tc>
        <w:tc>
          <w:tcPr>
            <w:tcW w:w="143" w:type="dxa"/>
          </w:tcPr>
          <w:p w:rsidR="00CA703D" w:rsidRDefault="00CA703D"/>
        </w:tc>
        <w:tc>
          <w:tcPr>
            <w:tcW w:w="993" w:type="dxa"/>
          </w:tcPr>
          <w:p w:rsidR="00CA703D" w:rsidRDefault="00CA703D"/>
        </w:tc>
      </w:tr>
      <w:tr w:rsidR="00CA70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A703D">
        <w:trPr>
          <w:trHeight w:hRule="exact" w:val="277"/>
        </w:trPr>
        <w:tc>
          <w:tcPr>
            <w:tcW w:w="3970" w:type="dxa"/>
          </w:tcPr>
          <w:p w:rsidR="00CA703D" w:rsidRDefault="00CA703D"/>
        </w:tc>
        <w:tc>
          <w:tcPr>
            <w:tcW w:w="1702" w:type="dxa"/>
          </w:tcPr>
          <w:p w:rsidR="00CA703D" w:rsidRDefault="00CA703D"/>
        </w:tc>
        <w:tc>
          <w:tcPr>
            <w:tcW w:w="1702" w:type="dxa"/>
          </w:tcPr>
          <w:p w:rsidR="00CA703D" w:rsidRDefault="00CA703D"/>
        </w:tc>
        <w:tc>
          <w:tcPr>
            <w:tcW w:w="426" w:type="dxa"/>
          </w:tcPr>
          <w:p w:rsidR="00CA703D" w:rsidRDefault="00CA703D"/>
        </w:tc>
        <w:tc>
          <w:tcPr>
            <w:tcW w:w="710" w:type="dxa"/>
          </w:tcPr>
          <w:p w:rsidR="00CA703D" w:rsidRDefault="00CA703D"/>
        </w:tc>
        <w:tc>
          <w:tcPr>
            <w:tcW w:w="143" w:type="dxa"/>
          </w:tcPr>
          <w:p w:rsidR="00CA703D" w:rsidRDefault="00CA703D"/>
        </w:tc>
        <w:tc>
          <w:tcPr>
            <w:tcW w:w="993" w:type="dxa"/>
          </w:tcPr>
          <w:p w:rsidR="00CA703D" w:rsidRDefault="00CA703D"/>
        </w:tc>
      </w:tr>
      <w:tr w:rsidR="00CA703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CA70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703D" w:rsidRPr="00F35547" w:rsidRDefault="00CA70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703D">
        <w:trPr>
          <w:trHeight w:hRule="exact" w:val="416"/>
        </w:trPr>
        <w:tc>
          <w:tcPr>
            <w:tcW w:w="3970" w:type="dxa"/>
          </w:tcPr>
          <w:p w:rsidR="00CA703D" w:rsidRDefault="00CA703D"/>
        </w:tc>
        <w:tc>
          <w:tcPr>
            <w:tcW w:w="1702" w:type="dxa"/>
          </w:tcPr>
          <w:p w:rsidR="00CA703D" w:rsidRDefault="00CA703D"/>
        </w:tc>
        <w:tc>
          <w:tcPr>
            <w:tcW w:w="1702" w:type="dxa"/>
          </w:tcPr>
          <w:p w:rsidR="00CA703D" w:rsidRDefault="00CA703D"/>
        </w:tc>
        <w:tc>
          <w:tcPr>
            <w:tcW w:w="426" w:type="dxa"/>
          </w:tcPr>
          <w:p w:rsidR="00CA703D" w:rsidRDefault="00CA703D"/>
        </w:tc>
        <w:tc>
          <w:tcPr>
            <w:tcW w:w="710" w:type="dxa"/>
          </w:tcPr>
          <w:p w:rsidR="00CA703D" w:rsidRDefault="00CA703D"/>
        </w:tc>
        <w:tc>
          <w:tcPr>
            <w:tcW w:w="143" w:type="dxa"/>
          </w:tcPr>
          <w:p w:rsidR="00CA703D" w:rsidRDefault="00CA703D"/>
        </w:tc>
        <w:tc>
          <w:tcPr>
            <w:tcW w:w="993" w:type="dxa"/>
          </w:tcPr>
          <w:p w:rsidR="00CA703D" w:rsidRDefault="00CA703D"/>
        </w:tc>
      </w:tr>
      <w:tr w:rsidR="00CA70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703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03D" w:rsidRDefault="00CA70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03D" w:rsidRDefault="00CA70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03D" w:rsidRDefault="00CA70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03D" w:rsidRDefault="00CA703D"/>
        </w:tc>
      </w:tr>
      <w:tr w:rsidR="00CA70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Регулирование оценочной деятельности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70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Система правового обеспечения оценщиков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70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Обоснование заключения о стоимости имущества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70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Особенности оценки имущества в деле о банкротстве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70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Условия заключения и исполнения договоров об оценке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70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CA70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CA70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Регулирование оценочной деятельности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70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Система правового обеспечения оценщиков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70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Обоснование заключения о стоимости имущества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70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Особенности оценки имущества в деле о банкротстве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A703D" w:rsidRDefault="00F35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70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Условия заключения и исполнения договоров об оценке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70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CA70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70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CA70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CA70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A703D" w:rsidRPr="00F35547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CA70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703D" w:rsidRPr="00F35547" w:rsidRDefault="00F35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35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CA703D" w:rsidRPr="00F35547" w:rsidRDefault="00F35547">
      <w:pPr>
        <w:rPr>
          <w:sz w:val="0"/>
          <w:szCs w:val="0"/>
          <w:lang w:val="ru-RU"/>
        </w:rPr>
      </w:pPr>
      <w:r w:rsidRPr="00F35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03D" w:rsidRPr="00F35547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70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CA70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70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703D" w:rsidRPr="00F3554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Регулирование оценочной деятельности в РФ</w:t>
            </w:r>
          </w:p>
        </w:tc>
      </w:tr>
      <w:tr w:rsidR="00CA703D" w:rsidRPr="00F3554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CA703D">
            <w:pPr>
              <w:rPr>
                <w:lang w:val="ru-RU"/>
              </w:rPr>
            </w:pPr>
          </w:p>
        </w:tc>
      </w:tr>
      <w:tr w:rsidR="00CA703D" w:rsidRPr="00F3554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«Об оценочной деятельности в Российской Федерации». Объекты оценки. Субъекты оценочной деятельности. Отношения, регулируемые законом, случаи обязательности проведения оценки объектов собственности Российской Федерации и её субъектов. Правовое обеспечение и регулирование обращения собственности, правоустанавливающие документы объекта оценки. Система регулирования оценочной деятельности в РФ. Органы регулирования оценочной деятельности в РФ: Федеральные органы исполнительной власти, уполномоченные Правительством РФ; Национальный совет по оценочной деятельности (НСОД)</w:t>
            </w:r>
          </w:p>
        </w:tc>
      </w:tr>
      <w:tr w:rsidR="00CA703D" w:rsidRPr="00F355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Система правового обеспечения оценщиков</w:t>
            </w:r>
          </w:p>
        </w:tc>
      </w:tr>
      <w:tr w:rsidR="00CA703D" w:rsidRPr="00F355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 деятельности оценщика саморегулируемыми организациями оценщиков. Субъекты оценочной деятельности. Принципы оценочной деятельности (оценщик, юридического лица занимающегося оценочной деятельностью, саморегулируемой организацией оценщиков, заказчики (потребители) оценочных услуг). Соотношение правового положения оценщика с правовым положением аудитора, частнопрактикующего нотариуса и адвоката.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Оценочные услуги. Добровольная и обязательная оценка. Аккредитация оценщика. Права и обязанности сторон. Оценка по решению уполномоченного органа. Кадастровая оценка, для целей налогообложения. Критерии уровня знаний эксперта саморегулируемой организации оценщиков (СРОО). Требования к уровню знаний эксперта СРОО.</w:t>
            </w:r>
          </w:p>
        </w:tc>
      </w:tr>
      <w:tr w:rsidR="00CA703D" w:rsidRPr="00F355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Обоснование заключения о стоимости имущества организации</w:t>
            </w:r>
          </w:p>
        </w:tc>
      </w:tr>
      <w:tr w:rsidR="00CA703D" w:rsidRPr="00F3554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стандарты оценочной деятельности в России. Оценка недвижимости и отдельных видов имущества в российском законодательстве. Стандарты оценочной деятельности в Российской Федерации. Применение стандартов оценки в практике оценщиков. Согласование результатов оценки. Составление письменного отчета по оценке, его основные разделы. Требования, предъявляемые к отчету по оценке. Стандартные финансовые отчеты и анализ коэффициентов, характеризующих стоимость. Международные стандарты оценки. Ведущие международные организации оценщиков.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IVSC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TEGoVA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A703D" w:rsidRPr="00F355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Особенности оценки имущества в деле о банкротстве</w:t>
            </w:r>
          </w:p>
        </w:tc>
      </w:tr>
      <w:tr w:rsidR="00CA703D" w:rsidRPr="00F355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закон от 26.10.2002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127-ФЗ «О не состоятельности (банкротстве)». Привлечение для определения стоимости предприятия и его активов независимых оценщиков. Положения, условия и ограничения оценки собственности в ходе арбитражного процесса. Задание на оценку, как неотъемлемая часть договора на проведение оценки. Оценка имущества должника в конкурсном производстве.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имущества должника, подлежащего реализации на торгах.</w:t>
            </w:r>
          </w:p>
        </w:tc>
      </w:tr>
      <w:tr w:rsidR="00CA703D" w:rsidRPr="00F355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Условия заключения и исполнения договоров об оценке</w:t>
            </w:r>
          </w:p>
        </w:tc>
      </w:tr>
      <w:tr w:rsidR="00CA703D">
        <w:trPr>
          <w:trHeight w:hRule="exact" w:val="4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природа договора об оценке имущества.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договора об</w:t>
            </w:r>
          </w:p>
        </w:tc>
      </w:tr>
    </w:tbl>
    <w:p w:rsidR="00CA703D" w:rsidRDefault="00F35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0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оценке имущества. Необходимые документы предоставляемые оценщику заказчиком (в зависимости от объекта оценки) Стороны договора об оценке имущества. Права и обязанности сторон. Конфликт интересов. Обязательные условия заключения и исполнения договора об оценке. Исполнение договора об оценке имущества и ответственность за его нарушение.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основные положения договора оценщика с заказчиком.</w:t>
            </w:r>
          </w:p>
        </w:tc>
      </w:tr>
      <w:tr w:rsidR="00CA70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703D">
        <w:trPr>
          <w:trHeight w:hRule="exact" w:val="147"/>
        </w:trPr>
        <w:tc>
          <w:tcPr>
            <w:tcW w:w="9640" w:type="dxa"/>
          </w:tcPr>
          <w:p w:rsidR="00CA703D" w:rsidRDefault="00CA703D"/>
        </w:tc>
      </w:tr>
      <w:tr w:rsidR="00CA703D" w:rsidRPr="00F355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Регулирование оценочной деятельности в РФ</w:t>
            </w:r>
          </w:p>
        </w:tc>
      </w:tr>
      <w:tr w:rsidR="00CA703D" w:rsidRPr="00F35547">
        <w:trPr>
          <w:trHeight w:hRule="exact" w:val="21"/>
        </w:trPr>
        <w:tc>
          <w:tcPr>
            <w:tcW w:w="9640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</w:tr>
      <w:tr w:rsidR="00CA703D" w:rsidRPr="00F3554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законодательных и подзаконных нормативных актов, регулирующих оценочную деятельность в РФ.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Контроль за осуществлением оценочной деятельности в РФ.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Правовое обеспечение проведения оценочных работ.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Требования к осуществлению оценочной деятельности.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Государственно-властное регулирование и контроль в сфере оценочной деятельности.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положения федерального стандарта ФСО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Общие понятия оценки. Подходы к оценке.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Требования к проведению оценки. Основные положения федерального стандарта ФСО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Цель оценки и предполагаемое использование результатов оценки.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Виды стоимости. Основные положения федерального стандарта ФСО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Требования к составлению отчета об оценке.</w:t>
            </w:r>
          </w:p>
        </w:tc>
      </w:tr>
      <w:tr w:rsidR="00CA703D" w:rsidRPr="00F35547">
        <w:trPr>
          <w:trHeight w:hRule="exact" w:val="8"/>
        </w:trPr>
        <w:tc>
          <w:tcPr>
            <w:tcW w:w="9640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</w:tr>
      <w:tr w:rsidR="00CA703D" w:rsidRPr="00F355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Система правового обеспечения оценщиков</w:t>
            </w:r>
          </w:p>
        </w:tc>
      </w:tr>
      <w:tr w:rsidR="00CA703D" w:rsidRPr="00F35547">
        <w:trPr>
          <w:trHeight w:hRule="exact" w:val="21"/>
        </w:trPr>
        <w:tc>
          <w:tcPr>
            <w:tcW w:w="9640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</w:tr>
      <w:tr w:rsidR="00CA703D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Права, обязанности, независимость оценщиков оценочной.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Документальное оформление оценочной деятельности. Этапы оценки.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Обязательность проведения оценки в установленных законодательством случаях.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Правовой режим различных целей оценки.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Регулирование деятельности оценщика саморегулируемыми организациями оценщиков.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Практика проведения переговоров и заключения договоров на проведение оценочных работ.</w:t>
            </w:r>
          </w:p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Критерии уровня знаний эксперта саморегулируемой организации оценщиков (СРОО).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уровню знаний эксперта СРОО.</w:t>
            </w:r>
          </w:p>
        </w:tc>
      </w:tr>
      <w:tr w:rsidR="00CA703D">
        <w:trPr>
          <w:trHeight w:hRule="exact" w:val="8"/>
        </w:trPr>
        <w:tc>
          <w:tcPr>
            <w:tcW w:w="9640" w:type="dxa"/>
          </w:tcPr>
          <w:p w:rsidR="00CA703D" w:rsidRDefault="00CA703D"/>
        </w:tc>
      </w:tr>
      <w:tr w:rsidR="00CA703D" w:rsidRPr="00F355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Обоснование заключения о стоимости имущества организации</w:t>
            </w:r>
          </w:p>
        </w:tc>
      </w:tr>
      <w:tr w:rsidR="00CA703D" w:rsidRPr="00F35547">
        <w:trPr>
          <w:trHeight w:hRule="exact" w:val="21"/>
        </w:trPr>
        <w:tc>
          <w:tcPr>
            <w:tcW w:w="9640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</w:tr>
      <w:tr w:rsidR="00CA703D" w:rsidRPr="00F3554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 об оценочной деятельности в Российской Федерации и Федеральные стандарты оценки. Требования к содержанию отчета об оценке.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Задачи и структура отчета, требования, предъявляемые к отчету об оценке. Международные и европейские стандарты оценки.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стоимости, используемые в оценке. Взаимосвязь целей оценки и видов стоимости.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Объекты и субъекты стоимостной оценки, права и обязанности оценщика и заказчика. Ответственность оценщика.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этапы процесса оценки.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Имущественный комплекс предприятия как объекты оценки.</w:t>
            </w:r>
          </w:p>
        </w:tc>
      </w:tr>
      <w:tr w:rsidR="00CA703D" w:rsidRPr="00F35547">
        <w:trPr>
          <w:trHeight w:hRule="exact" w:val="8"/>
        </w:trPr>
        <w:tc>
          <w:tcPr>
            <w:tcW w:w="9640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</w:tr>
      <w:tr w:rsidR="00CA703D" w:rsidRPr="00F355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Особенности оценки имущества в деле о банкротстве</w:t>
            </w:r>
          </w:p>
        </w:tc>
      </w:tr>
      <w:tr w:rsidR="00CA703D" w:rsidRPr="00F35547">
        <w:trPr>
          <w:trHeight w:hRule="exact" w:val="21"/>
        </w:trPr>
        <w:tc>
          <w:tcPr>
            <w:tcW w:w="9640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</w:tr>
      <w:tr w:rsidR="00CA703D" w:rsidRPr="00F3554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Федеральный закон от 26.10.2002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127-ФЗ «О не состоятельности (банкротстве)».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Привлечение для определения стоимости предприятия и его активов независимых оценщиков.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Положения, условия и ограничения оценки собственности в ходе арбитражного процесса.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Задание на оценку, как неотъемлемая часть договора на проведение оценки.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имущества должника, подлежащего реализации на торгах.</w:t>
            </w:r>
          </w:p>
        </w:tc>
      </w:tr>
    </w:tbl>
    <w:p w:rsidR="00CA703D" w:rsidRPr="00F35547" w:rsidRDefault="00F35547">
      <w:pPr>
        <w:rPr>
          <w:sz w:val="0"/>
          <w:szCs w:val="0"/>
          <w:lang w:val="ru-RU"/>
        </w:rPr>
      </w:pPr>
      <w:r w:rsidRPr="00F35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703D" w:rsidRPr="00F3554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Условия заключения и исполнения договоров об оценке</w:t>
            </w:r>
          </w:p>
        </w:tc>
      </w:tr>
      <w:tr w:rsidR="00CA703D" w:rsidRPr="00F35547">
        <w:trPr>
          <w:trHeight w:hRule="exact" w:val="21"/>
        </w:trPr>
        <w:tc>
          <w:tcPr>
            <w:tcW w:w="285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</w:tr>
      <w:tr w:rsidR="00CA703D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Договорные отношения в оценочной деятельности.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Обязательные условия заключения и исполнения договора об оценке.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Права и обязанности сторон. Конфликт интересов.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Страхование гражданской ответственности.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формированию отчета об оценке. Структура отчета. Основные разделы отчета.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Отчеты для специальных целей. Способы согласования весов, присваиваемых различными подходами.</w:t>
            </w:r>
          </w:p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Выводы итоговой величины стоимости.</w:t>
            </w:r>
          </w:p>
        </w:tc>
      </w:tr>
      <w:tr w:rsidR="00CA703D" w:rsidRPr="00F355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CA70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703D" w:rsidRPr="00F3554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«Правовое обеспечение формирования и оценки стоимости организации» / Сергиенко О.В.. – Омск: Изд-во Омской гуманитарной академии, 0.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703D" w:rsidRPr="00F35547">
        <w:trPr>
          <w:trHeight w:hRule="exact" w:val="138"/>
        </w:trPr>
        <w:tc>
          <w:tcPr>
            <w:tcW w:w="285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</w:tr>
      <w:tr w:rsidR="00CA70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703D" w:rsidRPr="00F355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5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978-5-534-08022-3.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5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5547">
              <w:rPr>
                <w:lang w:val="ru-RU"/>
              </w:rPr>
              <w:t xml:space="preserve"> </w:t>
            </w:r>
            <w:hyperlink r:id="rId4" w:history="1">
              <w:r w:rsidR="006A40E9">
                <w:rPr>
                  <w:rStyle w:val="a3"/>
                  <w:lang w:val="ru-RU"/>
                </w:rPr>
                <w:t>https://urait.ru/bcode/469764</w:t>
              </w:r>
            </w:hyperlink>
            <w:r w:rsidRPr="00F35547">
              <w:rPr>
                <w:lang w:val="ru-RU"/>
              </w:rPr>
              <w:t xml:space="preserve"> </w:t>
            </w:r>
          </w:p>
        </w:tc>
      </w:tr>
      <w:tr w:rsidR="00CA70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Бусов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Землянский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355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A40E9">
                <w:rPr>
                  <w:rStyle w:val="a3"/>
                </w:rPr>
                <w:t>https://urait.ru/bcode/474651</w:t>
              </w:r>
            </w:hyperlink>
            <w:r>
              <w:t xml:space="preserve"> </w:t>
            </w:r>
          </w:p>
        </w:tc>
      </w:tr>
      <w:tr w:rsidR="00CA703D">
        <w:trPr>
          <w:trHeight w:hRule="exact" w:val="277"/>
        </w:trPr>
        <w:tc>
          <w:tcPr>
            <w:tcW w:w="285" w:type="dxa"/>
          </w:tcPr>
          <w:p w:rsidR="00CA703D" w:rsidRDefault="00CA703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703D" w:rsidRPr="00F3554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кадастровой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Пылаева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5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978-5-534-12820-8.</w:t>
            </w:r>
            <w:r w:rsidRPr="00F35547">
              <w:rPr>
                <w:lang w:val="ru-RU"/>
              </w:rPr>
              <w:t xml:space="preserve"> 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5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5547">
              <w:rPr>
                <w:lang w:val="ru-RU"/>
              </w:rPr>
              <w:t xml:space="preserve"> </w:t>
            </w:r>
            <w:hyperlink r:id="rId6" w:history="1">
              <w:r w:rsidR="006A40E9">
                <w:rPr>
                  <w:rStyle w:val="a3"/>
                  <w:lang w:val="ru-RU"/>
                </w:rPr>
                <w:t>https://urait.ru/bcode/448353</w:t>
              </w:r>
            </w:hyperlink>
            <w:r w:rsidRPr="00F35547">
              <w:rPr>
                <w:lang w:val="ru-RU"/>
              </w:rPr>
              <w:t xml:space="preserve"> </w:t>
            </w:r>
          </w:p>
        </w:tc>
      </w:tr>
      <w:tr w:rsidR="00CA703D" w:rsidRPr="00F3554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CA703D">
            <w:pPr>
              <w:rPr>
                <w:lang w:val="ru-RU"/>
              </w:rPr>
            </w:pPr>
          </w:p>
        </w:tc>
      </w:tr>
      <w:tr w:rsidR="00CA703D" w:rsidRPr="00F3554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703D">
        <w:trPr>
          <w:trHeight w:hRule="exact" w:val="30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A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A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A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A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A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371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A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A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A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703D" w:rsidRDefault="00F35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CA703D" w:rsidRDefault="00F35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03D" w:rsidRPr="00F3554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6" w:history="1">
              <w:r w:rsidR="006A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A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A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A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703D" w:rsidRPr="00F355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703D" w:rsidRPr="00F35547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CA703D" w:rsidRPr="00F35547" w:rsidRDefault="00F35547">
      <w:pPr>
        <w:rPr>
          <w:sz w:val="0"/>
          <w:szCs w:val="0"/>
          <w:lang w:val="ru-RU"/>
        </w:rPr>
      </w:pPr>
      <w:r w:rsidRPr="00F35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03D" w:rsidRPr="00F35547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703D" w:rsidRPr="00F355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703D" w:rsidRPr="00F355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703D" w:rsidRPr="00F35547" w:rsidRDefault="00CA70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703D" w:rsidRDefault="00F35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703D" w:rsidRDefault="00F35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703D" w:rsidRPr="00F35547" w:rsidRDefault="00CA70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703D" w:rsidRPr="00F355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1371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A703D" w:rsidRPr="00F355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1371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A703D" w:rsidRPr="00F355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6A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A703D" w:rsidRPr="00F355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6A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A703D" w:rsidRPr="00F355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A70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A40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703D" w:rsidRPr="00F355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6A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A703D" w:rsidRPr="00F355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6A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A703D" w:rsidRPr="00F355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6A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70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Default="00F35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703D" w:rsidRPr="00F35547">
        <w:trPr>
          <w:trHeight w:hRule="exact" w:val="2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CA703D" w:rsidRPr="00F35547" w:rsidRDefault="00F35547">
      <w:pPr>
        <w:rPr>
          <w:sz w:val="0"/>
          <w:szCs w:val="0"/>
          <w:lang w:val="ru-RU"/>
        </w:rPr>
      </w:pPr>
      <w:r w:rsidRPr="00F35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03D" w:rsidRPr="00F3554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703D" w:rsidRPr="00F35547">
        <w:trPr>
          <w:trHeight w:hRule="exact" w:val="277"/>
        </w:trPr>
        <w:tc>
          <w:tcPr>
            <w:tcW w:w="9640" w:type="dxa"/>
          </w:tcPr>
          <w:p w:rsidR="00CA703D" w:rsidRPr="00F35547" w:rsidRDefault="00CA703D">
            <w:pPr>
              <w:rPr>
                <w:lang w:val="ru-RU"/>
              </w:rPr>
            </w:pPr>
          </w:p>
        </w:tc>
      </w:tr>
      <w:tr w:rsidR="00CA703D" w:rsidRPr="00F355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703D" w:rsidRPr="00F35547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CA703D" w:rsidRPr="00F35547" w:rsidRDefault="00F35547">
      <w:pPr>
        <w:rPr>
          <w:sz w:val="0"/>
          <w:szCs w:val="0"/>
          <w:lang w:val="ru-RU"/>
        </w:rPr>
      </w:pPr>
      <w:r w:rsidRPr="00F35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03D" w:rsidRPr="00F3554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1371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703D" w:rsidRPr="00F35547" w:rsidRDefault="00F35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5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A703D" w:rsidRPr="00F35547" w:rsidRDefault="00CA703D">
      <w:pPr>
        <w:rPr>
          <w:lang w:val="ru-RU"/>
        </w:rPr>
      </w:pPr>
    </w:p>
    <w:sectPr w:rsidR="00CA703D" w:rsidRPr="00F355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101B"/>
    <w:rsid w:val="00137198"/>
    <w:rsid w:val="001F0BC7"/>
    <w:rsid w:val="006A40E9"/>
    <w:rsid w:val="00CA703D"/>
    <w:rsid w:val="00D31453"/>
    <w:rsid w:val="00E209E2"/>
    <w:rsid w:val="00F3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AB135-19E9-4525-869D-1A16D1F3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1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7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4835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7465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6976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6139</Words>
  <Characters>34997</Characters>
  <Application>Microsoft Office Word</Application>
  <DocSecurity>0</DocSecurity>
  <Lines>291</Lines>
  <Paragraphs>82</Paragraphs>
  <ScaleCrop>false</ScaleCrop>
  <Company/>
  <LinksUpToDate>false</LinksUpToDate>
  <CharactersWithSpaces>41054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2021-2022_ФГОС3++2021_Бак-ЗФО-Э(БАиОСИ)(21)_plx_Правовое обеспечение формирования и оценки стоимости организации</dc:title>
  <dc:creator>FastReport.NET</dc:creator>
  <cp:lastModifiedBy>Mark Bernstorf</cp:lastModifiedBy>
  <cp:revision>5</cp:revision>
  <dcterms:created xsi:type="dcterms:W3CDTF">2022-04-01T03:25:00Z</dcterms:created>
  <dcterms:modified xsi:type="dcterms:W3CDTF">2022-11-12T09:54:00Z</dcterms:modified>
</cp:coreProperties>
</file>